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AB" w:rsidRPr="002F72B3" w:rsidRDefault="00296EAB" w:rsidP="00296EAB">
      <w:pPr>
        <w:pStyle w:val="NormalNovaTris"/>
      </w:pPr>
    </w:p>
    <w:p w:rsidR="00296EAB" w:rsidRDefault="00296EAB" w:rsidP="00296EAB">
      <w:pPr>
        <w:pStyle w:val="NormalNovaTris"/>
      </w:pPr>
    </w:p>
    <w:p w:rsidR="00276CA5" w:rsidRPr="00276CA5" w:rsidRDefault="00034B9E" w:rsidP="00276CA5">
      <w:pPr>
        <w:pStyle w:val="Titre1NovaTris"/>
        <w:spacing w:after="480"/>
      </w:pPr>
      <w:r>
        <w:t>Éducation</w:t>
      </w:r>
      <w:r w:rsidR="006F61F8">
        <w:t xml:space="preserve"> conscientisante et accompagnement</w:t>
      </w:r>
    </w:p>
    <w:tbl>
      <w:tblPr>
        <w:tblStyle w:val="Grilledutableau"/>
        <w:tblW w:w="9072" w:type="dxa"/>
        <w:tblInd w:w="-5" w:type="dxa"/>
        <w:tblLayout w:type="fixed"/>
        <w:tblLook w:val="04A0" w:firstRow="1" w:lastRow="0" w:firstColumn="1" w:lastColumn="0" w:noHBand="0" w:noVBand="1"/>
      </w:tblPr>
      <w:tblGrid>
        <w:gridCol w:w="6487"/>
        <w:gridCol w:w="1877"/>
        <w:gridCol w:w="708"/>
      </w:tblGrid>
      <w:tr w:rsidR="006F61F8" w:rsidTr="00B13746">
        <w:tc>
          <w:tcPr>
            <w:tcW w:w="9072" w:type="dxa"/>
            <w:gridSpan w:val="3"/>
            <w:shd w:val="clear" w:color="auto" w:fill="92D050"/>
          </w:tcPr>
          <w:p w:rsidR="006F61F8" w:rsidRPr="00070628" w:rsidRDefault="006F61F8" w:rsidP="00B13746">
            <w:pPr>
              <w:spacing w:before="60" w:after="60"/>
              <w:rPr>
                <w:b/>
              </w:rPr>
            </w:pPr>
            <w:r>
              <w:rPr>
                <w:b/>
              </w:rPr>
              <w:t>00</w:t>
            </w:r>
            <w:r w:rsidRPr="00070628">
              <w:rPr>
                <w:b/>
              </w:rPr>
              <w:t xml:space="preserve">h00 – </w:t>
            </w:r>
            <w:r>
              <w:rPr>
                <w:b/>
              </w:rPr>
              <w:t>Distribution du matériel</w:t>
            </w:r>
          </w:p>
        </w:tc>
      </w:tr>
      <w:tr w:rsidR="006F61F8" w:rsidTr="00B13746">
        <w:tc>
          <w:tcPr>
            <w:tcW w:w="6487" w:type="dxa"/>
          </w:tcPr>
          <w:p w:rsidR="006F61F8" w:rsidRDefault="006F61F8" w:rsidP="00B13746">
            <w:pPr>
              <w:spacing w:before="60" w:after="60"/>
            </w:pPr>
            <w:r>
              <w:t>Les participants sont répartis en groupes de 3 à 5 personnes.</w:t>
            </w:r>
          </w:p>
          <w:p w:rsidR="006F61F8" w:rsidRDefault="006F61F8" w:rsidP="00B13746">
            <w:pPr>
              <w:spacing w:before="60" w:after="60"/>
            </w:pPr>
            <w:r>
              <w:t xml:space="preserve">Chacun reçoit le texte théorique (Paulo Freire) portant sur la conception bancaire vs. </w:t>
            </w:r>
            <w:proofErr w:type="gramStart"/>
            <w:r>
              <w:t>conception</w:t>
            </w:r>
            <w:proofErr w:type="gramEnd"/>
            <w:r>
              <w:t xml:space="preserve"> conscientisante de l’éducation.</w:t>
            </w:r>
          </w:p>
          <w:p w:rsidR="006F61F8" w:rsidRDefault="006F61F8" w:rsidP="00B13746">
            <w:pPr>
              <w:spacing w:before="60" w:after="60"/>
            </w:pPr>
            <w:r>
              <w:t>Le formateur exp</w:t>
            </w:r>
            <w:r w:rsidR="00753C88">
              <w:t>lique le contexte : qui était Paolo</w:t>
            </w:r>
            <w:r>
              <w:t xml:space="preserve"> Freire, et notamment ses objectifs d’alphabétisation des populations des Favelas.</w:t>
            </w:r>
          </w:p>
          <w:p w:rsidR="006F61F8" w:rsidRDefault="006F61F8" w:rsidP="00B13746">
            <w:pPr>
              <w:spacing w:before="60" w:after="60"/>
            </w:pPr>
            <w:r>
              <w:t>Chaque groupe reçoit également un jeu de post-it géants (ou feuilles A3) et des feutres épais.</w:t>
            </w:r>
          </w:p>
          <w:p w:rsidR="006F61F8" w:rsidRDefault="006F61F8" w:rsidP="00B13746">
            <w:pPr>
              <w:spacing w:before="60" w:after="60"/>
            </w:pPr>
            <w:r>
              <w:t>Les participants sont invités à lire le texte.</w:t>
            </w:r>
          </w:p>
        </w:tc>
        <w:tc>
          <w:tcPr>
            <w:tcW w:w="1877" w:type="dxa"/>
          </w:tcPr>
          <w:p w:rsidR="006F61F8" w:rsidRDefault="006F61F8" w:rsidP="00B13746">
            <w:pPr>
              <w:spacing w:before="60" w:after="60"/>
            </w:pPr>
            <w:r>
              <w:t>Textes éducation conscientisante (cf. ci-dessous)</w:t>
            </w:r>
          </w:p>
          <w:p w:rsidR="006F61F8" w:rsidRDefault="006F61F8" w:rsidP="00B13746">
            <w:pPr>
              <w:spacing w:before="60" w:after="60"/>
            </w:pPr>
            <w:r>
              <w:t>Post-it géants ou feuilles A3</w:t>
            </w:r>
          </w:p>
          <w:p w:rsidR="006F61F8" w:rsidRDefault="006F61F8" w:rsidP="00B13746">
            <w:pPr>
              <w:spacing w:before="60" w:after="60"/>
            </w:pPr>
            <w:r>
              <w:t>Feutres épais</w:t>
            </w:r>
          </w:p>
        </w:tc>
        <w:tc>
          <w:tcPr>
            <w:tcW w:w="708" w:type="dxa"/>
          </w:tcPr>
          <w:p w:rsidR="006F61F8" w:rsidRDefault="006F61F8" w:rsidP="00B13746">
            <w:pPr>
              <w:spacing w:before="60" w:after="60"/>
            </w:pPr>
            <w:r>
              <w:t>20’</w:t>
            </w:r>
          </w:p>
        </w:tc>
      </w:tr>
      <w:tr w:rsidR="006F61F8" w:rsidTr="00B13746">
        <w:tc>
          <w:tcPr>
            <w:tcW w:w="9072" w:type="dxa"/>
            <w:gridSpan w:val="3"/>
            <w:shd w:val="clear" w:color="auto" w:fill="92D050"/>
          </w:tcPr>
          <w:p w:rsidR="006F61F8" w:rsidRPr="00070628" w:rsidRDefault="006F61F8" w:rsidP="00B13746">
            <w:pPr>
              <w:spacing w:before="60" w:after="60"/>
              <w:rPr>
                <w:b/>
              </w:rPr>
            </w:pPr>
            <w:r>
              <w:rPr>
                <w:b/>
              </w:rPr>
              <w:t>00h20 – Echanges et schémas</w:t>
            </w:r>
          </w:p>
        </w:tc>
      </w:tr>
      <w:tr w:rsidR="006F61F8" w:rsidTr="00B13746">
        <w:tc>
          <w:tcPr>
            <w:tcW w:w="6487" w:type="dxa"/>
          </w:tcPr>
          <w:p w:rsidR="006F61F8" w:rsidRDefault="006F61F8" w:rsidP="00B13746">
            <w:pPr>
              <w:spacing w:before="60" w:after="60"/>
            </w:pPr>
            <w:r>
              <w:t>Les groupes sont invités à créer des schémas sur la base du texte. La consigne est la suivante :</w:t>
            </w:r>
          </w:p>
          <w:p w:rsidR="006F61F8" w:rsidRDefault="006F61F8" w:rsidP="00B13746">
            <w:pPr>
              <w:spacing w:before="60" w:after="60"/>
            </w:pPr>
            <w:r>
              <w:t xml:space="preserve">« Paulo Freire était </w:t>
            </w:r>
            <w:r w:rsidR="00753C88">
              <w:t>un accompagnateur qui s’ignorait…</w:t>
            </w:r>
            <w:r>
              <w:t xml:space="preserve"> Dans cet extrait on trouve de grandes étapes, conditions et éléments à prendre en compte </w:t>
            </w:r>
            <w:r>
              <w:rPr>
                <w:b/>
              </w:rPr>
              <w:t>avant</w:t>
            </w:r>
            <w:r>
              <w:t xml:space="preserve"> un accompagnement (pour l’accompagné et l’accompagnateur). La méthode de Freire réclame de les réunir, les prendre en comptes et dans certains cas les provoquer… Essayez d’extraire ces éléments du texte et fa</w:t>
            </w:r>
            <w:r w:rsidR="00753C88">
              <w:t>ites un schéma sur la base des p</w:t>
            </w:r>
            <w:r>
              <w:t>ost-it (vous pouvez dessiner, découper des flèches ou autre…) »</w:t>
            </w:r>
          </w:p>
          <w:p w:rsidR="006F61F8" w:rsidRPr="00F02AF9" w:rsidRDefault="006F61F8" w:rsidP="00B13746">
            <w:pPr>
              <w:spacing w:before="60" w:after="60"/>
            </w:pPr>
            <w:r>
              <w:t>Les groupes se mettent au travail et le formateur passe aux moments lui semblant opportuns pour participer aux discussions (au minimum une fois par groupe).</w:t>
            </w:r>
          </w:p>
        </w:tc>
        <w:tc>
          <w:tcPr>
            <w:tcW w:w="1877" w:type="dxa"/>
          </w:tcPr>
          <w:p w:rsidR="006F61F8" w:rsidRPr="00D573AF" w:rsidRDefault="006F61F8" w:rsidP="00B13746">
            <w:pPr>
              <w:autoSpaceDE w:val="0"/>
              <w:autoSpaceDN w:val="0"/>
              <w:adjustRightInd w:val="0"/>
              <w:spacing w:before="60" w:after="60" w:line="259" w:lineRule="auto"/>
              <w:jc w:val="center"/>
            </w:pPr>
          </w:p>
        </w:tc>
        <w:tc>
          <w:tcPr>
            <w:tcW w:w="708" w:type="dxa"/>
          </w:tcPr>
          <w:p w:rsidR="006F61F8" w:rsidRDefault="006F61F8" w:rsidP="00B13746">
            <w:pPr>
              <w:spacing w:before="60" w:after="60"/>
            </w:pPr>
            <w:r>
              <w:t>1h15</w:t>
            </w:r>
          </w:p>
        </w:tc>
      </w:tr>
      <w:tr w:rsidR="006F61F8" w:rsidTr="00B13746">
        <w:tc>
          <w:tcPr>
            <w:tcW w:w="9072" w:type="dxa"/>
            <w:gridSpan w:val="3"/>
            <w:shd w:val="clear" w:color="auto" w:fill="92D050"/>
          </w:tcPr>
          <w:p w:rsidR="006F61F8" w:rsidRPr="006F1C05" w:rsidRDefault="006F61F8" w:rsidP="00B13746">
            <w:pPr>
              <w:spacing w:before="60" w:after="60"/>
              <w:rPr>
                <w:b/>
              </w:rPr>
            </w:pPr>
            <w:r>
              <w:rPr>
                <w:b/>
              </w:rPr>
              <w:t>01h35 – échanges des schémas</w:t>
            </w:r>
          </w:p>
        </w:tc>
      </w:tr>
      <w:tr w:rsidR="006F61F8" w:rsidTr="00B13746">
        <w:tc>
          <w:tcPr>
            <w:tcW w:w="6487" w:type="dxa"/>
          </w:tcPr>
          <w:p w:rsidR="006F61F8" w:rsidRPr="00644E16" w:rsidRDefault="006F61F8" w:rsidP="00B13746">
            <w:pPr>
              <w:spacing w:before="60" w:after="60"/>
            </w:pPr>
            <w:r w:rsidRPr="00644E16">
              <w:t xml:space="preserve">Chaque groupe présente son schéma à l’ensemble des participants. </w:t>
            </w:r>
          </w:p>
          <w:p w:rsidR="006F61F8" w:rsidRPr="00644E16" w:rsidRDefault="006F61F8" w:rsidP="00B13746">
            <w:pPr>
              <w:spacing w:before="60" w:after="60"/>
            </w:pPr>
            <w:r w:rsidRPr="00644E16">
              <w:t xml:space="preserve">Après chaque présentation les autres peuvent réagir, poser des questions </w:t>
            </w:r>
          </w:p>
          <w:p w:rsidR="006F61F8" w:rsidRPr="00644E16" w:rsidRDefault="006F61F8" w:rsidP="00B13746">
            <w:pPr>
              <w:spacing w:before="60" w:after="60"/>
            </w:pPr>
            <w:r w:rsidRPr="00644E16">
              <w:t>Une fois l’échange terminé</w:t>
            </w:r>
            <w:r>
              <w:t>,</w:t>
            </w:r>
            <w:r w:rsidRPr="00644E16">
              <w:t xml:space="preserve"> </w:t>
            </w:r>
            <w:r>
              <w:t>le formateur peut présenter son schéma.</w:t>
            </w:r>
          </w:p>
          <w:p w:rsidR="006F61F8" w:rsidRPr="00644E16" w:rsidRDefault="006F61F8" w:rsidP="00B13746">
            <w:pPr>
              <w:spacing w:before="60" w:after="60"/>
            </w:pPr>
            <w:r w:rsidRPr="00644E16">
              <w:t>Les participants discute</w:t>
            </w:r>
            <w:r>
              <w:t xml:space="preserve">nt également le schéma du formateur </w:t>
            </w:r>
            <w:r w:rsidRPr="00644E16">
              <w:t>(ceci permet de conserver le climat de confiance et de rester sur u</w:t>
            </w:r>
            <w:r>
              <w:t xml:space="preserve">n pied d’égalité). Le schéma du formateur </w:t>
            </w:r>
            <w:r w:rsidRPr="00644E16">
              <w:t>évolue ainsi au fil des formations.</w:t>
            </w:r>
          </w:p>
        </w:tc>
        <w:tc>
          <w:tcPr>
            <w:tcW w:w="1877" w:type="dxa"/>
          </w:tcPr>
          <w:p w:rsidR="006F61F8" w:rsidRPr="00D573AF" w:rsidRDefault="006F61F8" w:rsidP="00B13746">
            <w:pPr>
              <w:autoSpaceDE w:val="0"/>
              <w:autoSpaceDN w:val="0"/>
              <w:adjustRightInd w:val="0"/>
              <w:spacing w:before="60" w:after="60" w:line="259" w:lineRule="auto"/>
            </w:pPr>
            <w:r>
              <w:t>PPT Conscientisation</w:t>
            </w:r>
          </w:p>
        </w:tc>
        <w:tc>
          <w:tcPr>
            <w:tcW w:w="708" w:type="dxa"/>
          </w:tcPr>
          <w:p w:rsidR="006F61F8" w:rsidRDefault="006F61F8" w:rsidP="00B13746">
            <w:pPr>
              <w:spacing w:before="60" w:after="60"/>
            </w:pPr>
            <w:r>
              <w:t>25’</w:t>
            </w:r>
          </w:p>
        </w:tc>
      </w:tr>
      <w:tr w:rsidR="006F61F8" w:rsidTr="00B13746">
        <w:tc>
          <w:tcPr>
            <w:tcW w:w="9072" w:type="dxa"/>
            <w:gridSpan w:val="3"/>
            <w:shd w:val="clear" w:color="auto" w:fill="92D050"/>
          </w:tcPr>
          <w:p w:rsidR="006F61F8" w:rsidRPr="00CC3B02" w:rsidRDefault="006F61F8" w:rsidP="00753C88">
            <w:pPr>
              <w:spacing w:before="60" w:after="60"/>
              <w:rPr>
                <w:b/>
              </w:rPr>
            </w:pPr>
            <w:r>
              <w:rPr>
                <w:b/>
              </w:rPr>
              <w:t>02</w:t>
            </w:r>
            <w:r w:rsidRPr="00CC3B02">
              <w:rPr>
                <w:b/>
              </w:rPr>
              <w:t>h</w:t>
            </w:r>
            <w:r>
              <w:rPr>
                <w:b/>
              </w:rPr>
              <w:t>00</w:t>
            </w:r>
            <w:r w:rsidRPr="00CC3B02">
              <w:rPr>
                <w:b/>
              </w:rPr>
              <w:t xml:space="preserve"> – </w:t>
            </w:r>
            <w:r w:rsidR="00753C88">
              <w:rPr>
                <w:b/>
              </w:rPr>
              <w:t xml:space="preserve">Débriefing </w:t>
            </w:r>
            <w:bookmarkStart w:id="0" w:name="_GoBack"/>
            <w:bookmarkEnd w:id="0"/>
            <w:r>
              <w:rPr>
                <w:b/>
              </w:rPr>
              <w:t>(optionnel)</w:t>
            </w:r>
          </w:p>
        </w:tc>
      </w:tr>
      <w:tr w:rsidR="006F61F8" w:rsidTr="00B13746">
        <w:tc>
          <w:tcPr>
            <w:tcW w:w="6487" w:type="dxa"/>
          </w:tcPr>
          <w:p w:rsidR="006F61F8" w:rsidRDefault="006F61F8" w:rsidP="00B13746">
            <w:pPr>
              <w:spacing w:before="60" w:after="60"/>
            </w:pPr>
            <w:r>
              <w:t>Il est possible de débriefer sur les conceptions du formateur selon les participants.</w:t>
            </w:r>
          </w:p>
          <w:p w:rsidR="006F61F8" w:rsidRDefault="006F61F8" w:rsidP="00B13746">
            <w:pPr>
              <w:spacing w:before="60" w:after="60"/>
            </w:pPr>
            <w:r>
              <w:t>Il est également possible de faire le lien avec le Vélo inversé ou la vidéo du vélo inversé (</w:t>
            </w:r>
            <w:hyperlink r:id="rId8" w:history="1">
              <w:r w:rsidRPr="00724037">
                <w:rPr>
                  <w:rStyle w:val="Lienhypertexte"/>
                </w:rPr>
                <w:t>https://www.youtube.com/watch?v=MFzDaBzBlL0</w:t>
              </w:r>
            </w:hyperlink>
            <w:r>
              <w:t>)</w:t>
            </w:r>
          </w:p>
          <w:p w:rsidR="006F61F8" w:rsidRPr="00644E16" w:rsidRDefault="006F61F8" w:rsidP="00B13746">
            <w:pPr>
              <w:spacing w:before="60" w:after="60"/>
            </w:pPr>
            <w:r>
              <w:t xml:space="preserve">Le lien est également possible avec la vidéo </w:t>
            </w:r>
            <w:proofErr w:type="spellStart"/>
            <w:r>
              <w:rPr>
                <w:i/>
              </w:rPr>
              <w:t>What</w:t>
            </w:r>
            <w:proofErr w:type="spellEnd"/>
            <w:r>
              <w:rPr>
                <w:i/>
              </w:rPr>
              <w:t xml:space="preserve"> </w:t>
            </w:r>
            <w:proofErr w:type="spellStart"/>
            <w:r>
              <w:rPr>
                <w:i/>
              </w:rPr>
              <w:t>kind</w:t>
            </w:r>
            <w:proofErr w:type="spellEnd"/>
            <w:r>
              <w:rPr>
                <w:i/>
              </w:rPr>
              <w:t xml:space="preserve"> of </w:t>
            </w:r>
            <w:proofErr w:type="spellStart"/>
            <w:r>
              <w:rPr>
                <w:i/>
              </w:rPr>
              <w:t>asian</w:t>
            </w:r>
            <w:proofErr w:type="spellEnd"/>
            <w:r>
              <w:rPr>
                <w:i/>
              </w:rPr>
              <w:t xml:space="preserve"> are </w:t>
            </w:r>
            <w:proofErr w:type="spellStart"/>
            <w:r>
              <w:rPr>
                <w:i/>
              </w:rPr>
              <w:t>you</w:t>
            </w:r>
            <w:proofErr w:type="spellEnd"/>
            <w:r>
              <w:rPr>
                <w:i/>
              </w:rPr>
              <w:t> ?</w:t>
            </w:r>
            <w:r>
              <w:t xml:space="preserve"> (</w:t>
            </w:r>
            <w:hyperlink r:id="rId9" w:history="1">
              <w:r w:rsidRPr="00724037">
                <w:rPr>
                  <w:rStyle w:val="Lienhypertexte"/>
                </w:rPr>
                <w:t>https://www.youtube.com/watch?v=DWynJkN5HbQ</w:t>
              </w:r>
            </w:hyperlink>
            <w:r>
              <w:t>) et la déconstruction des stéréotypes pour aller au-delà</w:t>
            </w:r>
          </w:p>
        </w:tc>
        <w:tc>
          <w:tcPr>
            <w:tcW w:w="1877" w:type="dxa"/>
          </w:tcPr>
          <w:p w:rsidR="006F61F8" w:rsidRDefault="006F61F8" w:rsidP="00B13746">
            <w:pPr>
              <w:pStyle w:val="Paragraphedeliste"/>
              <w:autoSpaceDE w:val="0"/>
              <w:autoSpaceDN w:val="0"/>
              <w:adjustRightInd w:val="0"/>
              <w:spacing w:before="60" w:after="60" w:line="259" w:lineRule="auto"/>
            </w:pPr>
          </w:p>
        </w:tc>
        <w:tc>
          <w:tcPr>
            <w:tcW w:w="708" w:type="dxa"/>
          </w:tcPr>
          <w:p w:rsidR="006F61F8" w:rsidRDefault="006F61F8" w:rsidP="00B13746">
            <w:pPr>
              <w:spacing w:before="60" w:after="60"/>
            </w:pPr>
            <w:r>
              <w:t>20’</w:t>
            </w:r>
          </w:p>
        </w:tc>
      </w:tr>
    </w:tbl>
    <w:p w:rsidR="006F61F8" w:rsidRPr="00A97EAC" w:rsidRDefault="006F61F8" w:rsidP="00276CA5">
      <w:pPr>
        <w:pStyle w:val="Titre1NovaTris"/>
        <w:spacing w:after="480"/>
      </w:pPr>
    </w:p>
    <w:sectPr w:rsidR="006F61F8" w:rsidRPr="00A97EAC" w:rsidSect="00CA1D12">
      <w:headerReference w:type="default" r:id="rId10"/>
      <w:footerReference w:type="default" r:id="rId11"/>
      <w:headerReference w:type="first" r:id="rId12"/>
      <w:footerReference w:type="first" r:id="rId13"/>
      <w:pgSz w:w="11906" w:h="16838"/>
      <w:pgMar w:top="1418" w:right="1418" w:bottom="1418" w:left="1418"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4DB" w:rsidRDefault="008A24DB" w:rsidP="00114EE1">
      <w:r>
        <w:separator/>
      </w:r>
    </w:p>
  </w:endnote>
  <w:endnote w:type="continuationSeparator" w:id="0">
    <w:p w:rsidR="008A24DB" w:rsidRDefault="008A24DB"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034B9E">
      <w:rPr>
        <w:noProof/>
      </w:rPr>
      <w:t>2</w:t>
    </w:r>
    <w:r>
      <w:fldChar w:fldCharType="end"/>
    </w:r>
  </w:p>
  <w:p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68093 Mulhouse Cedex, France, www.novatris.uha.fr, novatris@uha.fr</w:t>
    </w:r>
  </w:p>
  <w:p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5B025652" wp14:editId="03B67D3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www.novatris.uha.fr, novatris@uha.fr</w:t>
    </w:r>
  </w:p>
  <w:p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4DB" w:rsidRDefault="008A24DB" w:rsidP="00114EE1">
      <w:r>
        <w:separator/>
      </w:r>
    </w:p>
  </w:footnote>
  <w:footnote w:type="continuationSeparator" w:id="0">
    <w:p w:rsidR="008A24DB" w:rsidRDefault="008A24DB"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455BAEF0" wp14:editId="6952FAA9">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FD6CB4" w:rsidRPr="00FD6CB4">
      <w:t xml:space="preserve"> </w:t>
    </w:r>
    <w:r w:rsidR="00FD6CB4">
      <w:t>Je prends, je donne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231F5A2F" wp14:editId="04D384A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4"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6"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8"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2F7889"/>
    <w:multiLevelType w:val="multilevel"/>
    <w:tmpl w:val="F2845CA4"/>
    <w:numStyleLink w:val="ListeNiveauxNovaTris"/>
  </w:abstractNum>
  <w:abstractNum w:abstractNumId="10" w15:restartNumberingAfterBreak="0">
    <w:nsid w:val="2824155D"/>
    <w:multiLevelType w:val="hybridMultilevel"/>
    <w:tmpl w:val="989AD6D0"/>
    <w:lvl w:ilvl="0" w:tplc="1E1A1052">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2"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3"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753C9A"/>
    <w:multiLevelType w:val="hybridMultilevel"/>
    <w:tmpl w:val="71DEE6FA"/>
    <w:lvl w:ilvl="0" w:tplc="1E1A1052">
      <w:start w:val="6"/>
      <w:numFmt w:val="bullet"/>
      <w:lvlText w:val="-"/>
      <w:lvlJc w:val="left"/>
      <w:pPr>
        <w:ind w:left="410" w:hanging="360"/>
      </w:pPr>
      <w:rPr>
        <w:rFonts w:ascii="Calibri" w:eastAsia="Times New Roman"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5"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6"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7"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9" w15:restartNumberingAfterBreak="0">
    <w:nsid w:val="3F7069FC"/>
    <w:multiLevelType w:val="multilevel"/>
    <w:tmpl w:val="F2845CA4"/>
    <w:numStyleLink w:val="ListeNiveauxNovaTris"/>
  </w:abstractNum>
  <w:abstractNum w:abstractNumId="20"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2D0DC6"/>
    <w:multiLevelType w:val="hybridMultilevel"/>
    <w:tmpl w:val="3EE67F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3"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7"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2F69F2"/>
    <w:multiLevelType w:val="multilevel"/>
    <w:tmpl w:val="F2845CA4"/>
    <w:numStyleLink w:val="ListeNiveauxNovaTris"/>
  </w:abstractNum>
  <w:abstractNum w:abstractNumId="32"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1"/>
  </w:num>
  <w:num w:numId="3">
    <w:abstractNumId w:val="19"/>
  </w:num>
  <w:num w:numId="4">
    <w:abstractNumId w:val="22"/>
  </w:num>
  <w:num w:numId="5">
    <w:abstractNumId w:val="20"/>
  </w:num>
  <w:num w:numId="6">
    <w:abstractNumId w:val="22"/>
    <w:lvlOverride w:ilvl="0">
      <w:startOverride w:val="1"/>
    </w:lvlOverride>
  </w:num>
  <w:num w:numId="7">
    <w:abstractNumId w:val="25"/>
  </w:num>
  <w:num w:numId="8">
    <w:abstractNumId w:val="9"/>
  </w:num>
  <w:num w:numId="9">
    <w:abstractNumId w:val="31"/>
  </w:num>
  <w:num w:numId="10">
    <w:abstractNumId w:val="16"/>
  </w:num>
  <w:num w:numId="11">
    <w:abstractNumId w:val="24"/>
  </w:num>
  <w:num w:numId="12">
    <w:abstractNumId w:val="7"/>
  </w:num>
  <w:num w:numId="13">
    <w:abstractNumId w:val="29"/>
  </w:num>
  <w:num w:numId="14">
    <w:abstractNumId w:val="2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num>
  <w:num w:numId="19">
    <w:abstractNumId w:val="18"/>
  </w:num>
  <w:num w:numId="20">
    <w:abstractNumId w:val="3"/>
  </w:num>
  <w:num w:numId="21">
    <w:abstractNumId w:val="12"/>
  </w:num>
  <w:num w:numId="22">
    <w:abstractNumId w:val="13"/>
  </w:num>
  <w:num w:numId="23">
    <w:abstractNumId w:val="26"/>
  </w:num>
  <w:num w:numId="24">
    <w:abstractNumId w:val="6"/>
  </w:num>
  <w:num w:numId="25">
    <w:abstractNumId w:val="15"/>
  </w:num>
  <w:num w:numId="26">
    <w:abstractNumId w:val="23"/>
  </w:num>
  <w:num w:numId="27">
    <w:abstractNumId w:val="17"/>
  </w:num>
  <w:num w:numId="28">
    <w:abstractNumId w:val="32"/>
  </w:num>
  <w:num w:numId="29">
    <w:abstractNumId w:val="2"/>
  </w:num>
  <w:num w:numId="30">
    <w:abstractNumId w:val="30"/>
  </w:num>
  <w:num w:numId="31">
    <w:abstractNumId w:val="8"/>
  </w:num>
  <w:num w:numId="32">
    <w:abstractNumId w:val="1"/>
  </w:num>
  <w:num w:numId="33">
    <w:abstractNumId w:val="1"/>
  </w:num>
  <w:num w:numId="34">
    <w:abstractNumId w:val="1"/>
  </w:num>
  <w:num w:numId="35">
    <w:abstractNumId w:val="23"/>
  </w:num>
  <w:num w:numId="36">
    <w:abstractNumId w:val="2"/>
  </w:num>
  <w:num w:numId="37">
    <w:abstractNumId w:val="4"/>
  </w:num>
  <w:num w:numId="38">
    <w:abstractNumId w:val="10"/>
  </w:num>
  <w:num w:numId="39">
    <w:abstractNumId w:val="2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34B9E"/>
    <w:rsid w:val="00065FCF"/>
    <w:rsid w:val="000906AB"/>
    <w:rsid w:val="000A6BE5"/>
    <w:rsid w:val="000C2F71"/>
    <w:rsid w:val="000D039E"/>
    <w:rsid w:val="000D20BD"/>
    <w:rsid w:val="000D5CEF"/>
    <w:rsid w:val="000D7DF2"/>
    <w:rsid w:val="000E1D20"/>
    <w:rsid w:val="00100B95"/>
    <w:rsid w:val="00110CD7"/>
    <w:rsid w:val="00114EE1"/>
    <w:rsid w:val="00170FD3"/>
    <w:rsid w:val="00180C37"/>
    <w:rsid w:val="001B6129"/>
    <w:rsid w:val="001D4D5A"/>
    <w:rsid w:val="001E156E"/>
    <w:rsid w:val="002001C5"/>
    <w:rsid w:val="002003FD"/>
    <w:rsid w:val="00213377"/>
    <w:rsid w:val="0021707D"/>
    <w:rsid w:val="002248B2"/>
    <w:rsid w:val="0023210F"/>
    <w:rsid w:val="00276CA5"/>
    <w:rsid w:val="00292D86"/>
    <w:rsid w:val="00296EAB"/>
    <w:rsid w:val="002C1A33"/>
    <w:rsid w:val="002D2C2B"/>
    <w:rsid w:val="0031341A"/>
    <w:rsid w:val="003342FC"/>
    <w:rsid w:val="003B5D9F"/>
    <w:rsid w:val="003D0521"/>
    <w:rsid w:val="003D2ACB"/>
    <w:rsid w:val="003E3656"/>
    <w:rsid w:val="00400364"/>
    <w:rsid w:val="0045063A"/>
    <w:rsid w:val="004519D6"/>
    <w:rsid w:val="004D6FE0"/>
    <w:rsid w:val="004E6749"/>
    <w:rsid w:val="005026FD"/>
    <w:rsid w:val="00510966"/>
    <w:rsid w:val="00522DDE"/>
    <w:rsid w:val="00542A6E"/>
    <w:rsid w:val="005B2603"/>
    <w:rsid w:val="005C395F"/>
    <w:rsid w:val="005E2549"/>
    <w:rsid w:val="005F1253"/>
    <w:rsid w:val="0061551A"/>
    <w:rsid w:val="006355C3"/>
    <w:rsid w:val="00641FBC"/>
    <w:rsid w:val="006465EE"/>
    <w:rsid w:val="0066040A"/>
    <w:rsid w:val="00664698"/>
    <w:rsid w:val="0068409E"/>
    <w:rsid w:val="006F07CD"/>
    <w:rsid w:val="006F61F8"/>
    <w:rsid w:val="00705B63"/>
    <w:rsid w:val="00753C88"/>
    <w:rsid w:val="00781B55"/>
    <w:rsid w:val="00787B15"/>
    <w:rsid w:val="007A7526"/>
    <w:rsid w:val="007C5B2A"/>
    <w:rsid w:val="007D4F60"/>
    <w:rsid w:val="00804BC7"/>
    <w:rsid w:val="00807E0A"/>
    <w:rsid w:val="008147AD"/>
    <w:rsid w:val="00825452"/>
    <w:rsid w:val="008447F7"/>
    <w:rsid w:val="00847495"/>
    <w:rsid w:val="008A24DB"/>
    <w:rsid w:val="008B5546"/>
    <w:rsid w:val="008D06DF"/>
    <w:rsid w:val="008F5646"/>
    <w:rsid w:val="0091039A"/>
    <w:rsid w:val="0094253A"/>
    <w:rsid w:val="00944F79"/>
    <w:rsid w:val="009464F4"/>
    <w:rsid w:val="00951C45"/>
    <w:rsid w:val="00975E6F"/>
    <w:rsid w:val="0098438F"/>
    <w:rsid w:val="0099352B"/>
    <w:rsid w:val="009A1F1C"/>
    <w:rsid w:val="009A736B"/>
    <w:rsid w:val="009B2DBD"/>
    <w:rsid w:val="009C4AA1"/>
    <w:rsid w:val="009F2723"/>
    <w:rsid w:val="009F5BA1"/>
    <w:rsid w:val="00A504EE"/>
    <w:rsid w:val="00A51CB5"/>
    <w:rsid w:val="00A71D93"/>
    <w:rsid w:val="00A729D8"/>
    <w:rsid w:val="00A97EAC"/>
    <w:rsid w:val="00AB4A1E"/>
    <w:rsid w:val="00AC453F"/>
    <w:rsid w:val="00AF5D91"/>
    <w:rsid w:val="00B416F6"/>
    <w:rsid w:val="00B45645"/>
    <w:rsid w:val="00B670C4"/>
    <w:rsid w:val="00B94A44"/>
    <w:rsid w:val="00BA232E"/>
    <w:rsid w:val="00BB7D68"/>
    <w:rsid w:val="00BE1F75"/>
    <w:rsid w:val="00C01675"/>
    <w:rsid w:val="00C40597"/>
    <w:rsid w:val="00C874B4"/>
    <w:rsid w:val="00CA1D12"/>
    <w:rsid w:val="00CB747A"/>
    <w:rsid w:val="00CC1EA3"/>
    <w:rsid w:val="00D5316B"/>
    <w:rsid w:val="00D6167F"/>
    <w:rsid w:val="00D721B1"/>
    <w:rsid w:val="00D72479"/>
    <w:rsid w:val="00D7563C"/>
    <w:rsid w:val="00DB1473"/>
    <w:rsid w:val="00DC084D"/>
    <w:rsid w:val="00DE5C2C"/>
    <w:rsid w:val="00E40FA6"/>
    <w:rsid w:val="00ED1CDC"/>
    <w:rsid w:val="00ED2652"/>
    <w:rsid w:val="00EE6673"/>
    <w:rsid w:val="00EF3249"/>
    <w:rsid w:val="00F448B9"/>
    <w:rsid w:val="00F564DA"/>
    <w:rsid w:val="00F56B87"/>
    <w:rsid w:val="00F56FFC"/>
    <w:rsid w:val="00F94154"/>
    <w:rsid w:val="00FB6AAC"/>
    <w:rsid w:val="00FD36D3"/>
    <w:rsid w:val="00FD6CB4"/>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490D7"/>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 w:type="paragraph" w:customStyle="1" w:styleId="Standard">
    <w:name w:val="Standard"/>
    <w:rsid w:val="00CA1D12"/>
    <w:pPr>
      <w:suppressAutoHyphens/>
      <w:autoSpaceDN w:val="0"/>
      <w:ind w:left="1276"/>
      <w:textAlignment w:val="baseline"/>
    </w:pPr>
    <w:rPr>
      <w:rFonts w:ascii="Cambria" w:hAnsi="Cambria"/>
      <w:kern w:val="3"/>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FzDaBzBlL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DWynJkN5HbQ"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F3FF-540C-4381-9389-107215B8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2047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Louistisserand</dc:creator>
  <cp:lastModifiedBy>Kim Leuzinger</cp:lastModifiedBy>
  <cp:revision>5</cp:revision>
  <dcterms:created xsi:type="dcterms:W3CDTF">2020-04-24T10:36:00Z</dcterms:created>
  <dcterms:modified xsi:type="dcterms:W3CDTF">2020-04-29T08:12:00Z</dcterms:modified>
</cp:coreProperties>
</file>